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200"/>
        <w:jc w:val="center"/>
      </w:pPr>
      <w:r>
        <w:rPr>
          <w:b/>
          <w:bCs/>
          <w:color w:val="5B2A86"/>
          <w:sz w:val="64"/>
          <w:szCs w:val="64"/>
        </w:rPr>
        <w:t xml:space="preserve">REUNION</w:t>
      </w:r>
    </w:p>
    <w:p>
      <w:pPr>
        <w:spacing w:after="400"/>
        <w:jc w:val="center"/>
      </w:pPr>
      <w:r>
        <w:rPr>
          <w:color w:val="666666"/>
          <w:sz w:val="24"/>
          <w:szCs w:val="24"/>
        </w:rPr>
        <w:t xml:space="preserve">Incentive Place · Plataforma V2</w:t>
      </w:r>
    </w:p>
    <w:p>
      <w:pPr>
        <w:spacing w:after="100" w:before="200"/>
        <w:jc w:val="center"/>
      </w:pPr>
      <w:r>
        <w:rPr>
          <w:b/>
          <w:bCs/>
          <w:color w:val="222222"/>
          <w:sz w:val="40"/>
          <w:szCs w:val="40"/>
        </w:rPr>
        <w:t xml:space="preserve">Documentação de Regras de Negócio</w:t>
      </w:r>
    </w:p>
    <w:p>
      <w:pPr>
        <w:spacing w:after="800"/>
        <w:jc w:val="center"/>
      </w:pPr>
      <w:r>
        <w:rPr>
          <w:color w:val="444444"/>
          <w:sz w:val="26"/>
          <w:szCs w:val="26"/>
        </w:rPr>
        <w:t xml:space="preserve">Alinhamentos de Especificação — Cadastro Padrão de Lojas</w:t>
      </w:r>
    </w:p>
    <w:tbl>
      <w:tblPr>
        <w:tblW w:type="pct" w:w="70%"/>
        <w:jc w:val="center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2600"/>
        <w:gridCol w:w="6400"/>
      </w:tblGrid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Reunião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Alinhamentos de Especificação</w:t>
            </w:r>
          </w:p>
        </w:tc>
      </w:tr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14 de julho de 2026</w:t>
            </w:r>
          </w:p>
        </w:tc>
      </w:tr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Duração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≈ 51 minutos</w:t>
            </w:r>
          </w:p>
        </w:tc>
      </w:tr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Participantes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Mauricio Bonatto (Premiersoft) · Isabella Canon (Reunion)</w:t>
            </w:r>
          </w:p>
        </w:tc>
      </w:tr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Fonte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Gravação Microsoft Teams (.mp4) + transcrição (.vtt)</w:t>
            </w:r>
          </w:p>
        </w:tc>
      </w:tr>
      <w:tr>
        <w:tc>
          <w:tcPr>
            <w:tcW w:type="dxa" w:w="2600"/>
            <w:shd w:fill="EDE4F5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Escopo</w:t>
            </w:r>
          </w:p>
        </w:tc>
        <w:tc>
          <w:tcPr>
            <w:tcW w:type="dxa" w:w="6400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sz w:val="20"/>
                <w:szCs w:val="20"/>
              </w:rPr>
              <w:t xml:space="preserve">Gerenciar Padrão de Lojas: Gift Cards, Cartões Pré-Pagos, Markup, Usuários e Aprovação de Campanhas</w:t>
            </w:r>
          </w:p>
        </w:tc>
      </w:tr>
    </w:tbl>
    <w:p>
      <w:pPr>
        <w:spacing w:before="1000"/>
        <w:jc w:val="center"/>
      </w:pPr>
      <w:r>
        <w:rPr>
          <w:i/>
          <w:iCs/>
          <w:color w:val="888888"/>
          <w:sz w:val="18"/>
          <w:szCs w:val="18"/>
        </w:rPr>
        <w:t xml:space="preserve">Documento gerado automaticamente a partir da gravação da reunião — transcrição de áudio e capturas de tela do sistema.</w:t>
      </w:r>
    </w:p>
    <w:p>
      <w:pPr>
        <w:sectPr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pBdr>
          <w:bottom w:val="single" w:color="5B2A86" w:sz="8" w:space="4"/>
        </w:pBdr>
        <w:spacing w:after="160" w:before="360"/>
      </w:pPr>
      <w:r>
        <w:rPr>
          <w:b/>
          <w:bCs/>
          <w:color w:val="5B2A86"/>
          <w:sz w:val="30"/>
          <w:szCs w:val="30"/>
        </w:rPr>
        <w:t xml:space="preserve">1. Objetivo da Reunião</w:t>
      </w:r>
    </w:p>
    <w:p>
      <w:pPr>
        <w:spacing w:after="140" w:line="300"/>
      </w:pPr>
      <w:r>
        <w:rPr>
          <w:sz w:val="22"/>
          <w:szCs w:val="22"/>
        </w:rPr>
        <w:t xml:space="preserve">Reunião de alinhamento entre Mauricio Bonatto (responsável pela especificação funcional da plataforma Reunion V2) e Isabella Canon (área de negócio / operação da Reunion) para validar as regras de cadastro do módulo "Gerenciar Padrão de Lojas", que centraliza a configuração-padrão aplicada a todos os clientes: Gift Cards, Cartões Pré-Pagos, Transferência Bancária, Pagamentos, PIX e Markup.</w:t>
      </w:r>
    </w:p>
    <w:p>
      <w:pPr>
        <w:spacing w:after="140" w:line="300"/>
      </w:pPr>
      <w:r>
        <w:rPr>
          <w:sz w:val="22"/>
          <w:szCs w:val="22"/>
        </w:rPr>
        <w:t xml:space="preserve">A dinâmica da reunião foi a de revisão de tela a tela do protótipo (Figma) e do sistema em produção/homologação, com Isabella validando se a regra escrita reflete a operação real do negócio. Diversos pontos foram corrigidos ao vivo durante a chamada.</w:t>
      </w:r>
    </w:p>
    <w:p>
      <w:pPr>
        <w:pStyle w:val="Heading1"/>
        <w:pBdr>
          <w:bottom w:val="single" w:color="5B2A86" w:sz="8" w:space="4"/>
        </w:pBdr>
        <w:spacing w:after="160" w:before="360"/>
      </w:pPr>
      <w:r>
        <w:rPr>
          <w:b/>
          <w:bCs/>
          <w:color w:val="5B2A86"/>
          <w:sz w:val="30"/>
          <w:szCs w:val="30"/>
        </w:rPr>
        <w:t xml:space="preserve">2. Sumário das Regras Validadas</w:t>
      </w:r>
    </w:p>
    <w:tbl>
      <w:tblPr>
        <w:tblW w:type="pct" w:w="100%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CCCCCC" w:sz="4"/>
          <w:insideV w:val="single" w:color="CCCCCC" w:sz="4"/>
        </w:tblBorders>
      </w:tblPr>
      <w:tblGrid>
        <w:gridCol w:w="1100"/>
        <w:gridCol w:w="4500"/>
        <w:gridCol w:w="3400"/>
      </w:tblGrid>
      <w:tr>
        <w:tc>
          <w:tcPr>
            <w:tcW w:type="dxa" w:w="1100"/>
            <w:shd w:fill="5B2A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RN</w:t>
            </w:r>
          </w:p>
        </w:tc>
        <w:tc>
          <w:tcPr>
            <w:tcW w:type="dxa" w:w="4500"/>
            <w:shd w:fill="5B2A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Regra</w:t>
            </w:r>
          </w:p>
        </w:tc>
        <w:tc>
          <w:tcPr>
            <w:tcW w:type="dxa" w:w="3400"/>
            <w:shd w:fill="5B2A86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9"/>
                <w:szCs w:val="19"/>
              </w:rPr>
              <w:t xml:space="preserve">Status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RN01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Cadastro de Gift Card — valor do botão é obrigatório (mín. 1)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Corrigida na reunião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RN02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Configuração Padrão × Cliente, com granularidade por tipo de serviço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Validada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RN03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Cartão Pré-Pago — estrutura extensível de serviços e opções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Validada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RN04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Cartão Pré-Pago Reunion (Unicard/LinkCard) — compra x recarga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Validada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RN05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Markup — extensão para Boleto e não exibição ao premiado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Pendente de complemento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RN06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Permissões do usuário do cliente (Administrar campanha)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Ajuste de nomenclatura</w:t>
            </w:r>
          </w:p>
        </w:tc>
      </w:tr>
      <w:tr>
        <w:tc>
          <w:tcPr>
            <w:tcW w:type="dxa" w:w="11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RN07</w:t>
            </w:r>
          </w:p>
        </w:tc>
        <w:tc>
          <w:tcPr>
            <w:tcW w:type="dxa" w:w="4500"/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Aprovação de campanhas antes de refletir ao premiado</w:t>
            </w:r>
          </w:p>
        </w:tc>
        <w:tc>
          <w:tcPr>
            <w:tcW w:type="dxa" w:w="3400"/>
            <w:shd w:fill="FBF3D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222222"/>
                <w:sz w:val="19"/>
                <w:szCs w:val="19"/>
              </w:rPr>
              <w:t xml:space="preserve">Validada</w:t>
            </w:r>
          </w:p>
        </w:tc>
      </w:tr>
    </w:tbl>
    <w:p>
      <w:pPr>
        <w:spacing w:before="400"/>
      </w:pPr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RN01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Cadastro de Gift Card — Valor obrigatório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B7690A"/>
          <w:sz w:val="20"/>
          <w:szCs w:val="20"/>
        </w:rPr>
        <w:t xml:space="preserve">Regra corrigida ao vivo durante a reunião</w:t>
      </w:r>
    </w:p>
    <w:p>
      <w:pPr>
        <w:spacing w:after="140" w:line="300"/>
      </w:pPr>
      <w:r>
        <w:rPr>
          <w:sz w:val="22"/>
          <w:szCs w:val="22"/>
        </w:rPr>
        <w:t xml:space="preserve">O protótipo original tratava o campo de valores do gift card ("valor do botão", ex.: R$ 50 / R$ 100 / R$ 200) como opcional no cadastro-padrão. Isabella apontou que, na operação real, todo gift card cadastrado precisa ter ao menos um valor definido, pois esse valor é o que aparece para o premiado escolher no momento da compra — sem ele, a compra não pode ser concluída.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 campo de valores ("valor do botão") passa a ser de preenchimento obrigatório para todo gift card cadastrado, com no mínimo 1 (um) valor informado.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Não existe gift card sem valor definido — o que pode variar é a quantidade de valores (alguns têm 1 opção, outros vários).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 demais campos do cadastro-padrão (nome, descrição, categoria, tipo físico/virtual, taxa de entrega, taxa de processamento, valor do plástico) seguem preenchidos conforme aplicável a cada gift card.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Isabella Canon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"Para fazer um cadastro de vale, obrigatoriamente eu preciso definir o valor de botão. Talvez esse campo, ao invés de opcional, sempre vá precisar atribuir pelo menos um valor."</w:t>
            </w:r>
          </w:p>
        </w:tc>
      </w:tr>
    </w:tbl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Mauricio Bonatto (correção aceita)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"Não, tranquilo, esse eu ajusto. Agora entendi — vou alterar para obrigatório, no mínimo um informado."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5715000" cy="3762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Protótipo — Cadastro de Gift Cards: campos de Parâmetros Financeiros (valor do plástico, taxa de entrega, valor mínimo por transação) que acompanham os valores do produto.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36957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Tela do premiado (Incentive Place) — exemplo real "Cartão Abbraccio": o premiado escolhe entre Físico/Virtual e um dos valores pré-configurados (R$ 50 / R$ 100 / R$ 500) antes de comprar.</w:t>
      </w:r>
    </w:p>
    <w:p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RN02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Configuração Padrão × Cliente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1B7A3D"/>
          <w:sz w:val="20"/>
          <w:szCs w:val="20"/>
        </w:rPr>
        <w:t xml:space="preserve">Validada</w:t>
      </w:r>
    </w:p>
    <w:p>
      <w:pPr>
        <w:spacing w:after="140" w:line="300"/>
      </w:pPr>
      <w:r>
        <w:rPr>
          <w:sz w:val="22"/>
          <w:szCs w:val="22"/>
        </w:rPr>
        <w:t xml:space="preserve">O cadastro-padrão funciona como um template geral aplicado a todos os clientes. Ao cadastrar um novo cliente, o sistema herda automaticamente todas as parametrizações do padrão (gift cards, cartões pré-pagos, transferência, pagamentos, PIX, markup).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Ao salvar um novo cliente, o sistema vincula automaticamente todas as configurações vigentes do padrão.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Cada cliente possui, para cada tipo de serviço (cartão pré-pago, transferência bancária, pagamentos, PIX, gift card, markup), uma opção independente "Utiliza padrão" (Sim/Não).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Enquanto "Utiliza padrão = Sim", qualquer alteração feita no cadastro-padrão é replicada automaticamente para esse cliente ao clicar em "Salvar e aplicar aos clientes".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 o operador customizar um valor específico para o cliente, é obrigatório marcar "Não utiliza padrão" para aquele tipo de serviço — caso contrário, a próxima atualização do padrão sobrescreveria a customização sem aviso.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 granularidade é por tipo de serviço, não por cliente inteiro: um cliente pode ter PIX customizado e ainda assim seguir o padrão em cartão pré-pago, transferência etc.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Mauricio Bonatto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"Se você modificar uma taxa de cartão pré-pago no padrão, ele reflete para o cliente X — mas o PIX não, porque esse cliente está marcado que não utiliza mais o padrão de PIX, já que tem uma taxa específica."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Sistema (homologação) — listagem de Clientes com status e datas de cadastro/atualização.</w:t>
      </w:r>
    </w:p>
    <w:p>
      <w:pPr>
        <w:spacing w:after="80" w:before="80"/>
        <w:jc w:val="center"/>
      </w:pPr>
      <w:r>
        <w:drawing>
          <wp:inline distT="0" distB="0" distL="0" distR="0">
            <wp:extent cx="5715000" cy="3362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Configurações de loja para o cliente "Volkswagen Caminhões e Ônibus": cada valor exibe o "valor padrão" de referência ao lado do valor customizado (ex.: Valor do plástico 29,9 vs. padrão 29,9; Frete 16,9 vs. padrão 16,9), por tipo de serviço (abas à esquerda: Cartões pré-pagos, Transferências Bancárias, Pagamentos, PIX, Gift cards, Markup).</w:t>
      </w:r>
    </w:p>
    <w:p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RN03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Cartão Pré-Pago — Estrutura de Serviços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1B7A3D"/>
          <w:sz w:val="20"/>
          <w:szCs w:val="20"/>
        </w:rPr>
        <w:t xml:space="preserve">Validada</w:t>
      </w:r>
    </w:p>
    <w:p>
      <w:pPr>
        <w:spacing w:after="140" w:line="300"/>
      </w:pPr>
      <w:r>
        <w:rPr>
          <w:sz w:val="22"/>
          <w:szCs w:val="22"/>
        </w:rPr>
        <w:t xml:space="preserve">Foi esclarecida a diferença entre adicionar uma nova opção dentro de um serviço já existente e criar um novo tipo de serviço.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Serviços de nível superior hoje suportados: Cartão Pré-Pago, Transferência Bancária, Pagamentos, PIX, Gift Card e Markup.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Dentro de um serviço existente (ex.: Cartão Pré-Pago), é possível cadastrar novas opções livremente pela tela de administração (ex.: um novo cartão pré-pago de combustível), sem depender de desenvolvimento — desde que a tela do premiado já esteja preparada para exibir opções daquele serviço.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Criar um serviço de nível superior totalmente novo (um menu novo que hoje não existe) requer preparo prévio de desenvolvimento (back-end e app do premiado), pois é necessário estruturar um novo menu/fluxo — não é apenas parametrização.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Conclusão prática para a operação: novas opções dentro dos serviços atuais → autonomia da equipe de negócio via cadastro; novo serviço → depende de desenvolvimento (Modernization).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Mauricio Bonatto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"Você consegue colocar tipos dentro de um serviço — opções dentro do serviço. Agora um serviço novo precisa estar preparado lá no premiado para ter um outro menu daquele serviço novo."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5715000" cy="33623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Protótipo — "Cadastrar Cartão Pré-Pago": abas de serviço (Cartões Pré-Pagos, Transferência Bancária, Pagamentos, PIX, Gift Cards, Markup); botão "Cadastrar novo cartão" para novas opções dentro do serviço; lista de clientes vinculados ao padrão.</w:t>
      </w:r>
    </w:p>
    <w:p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RN04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Cartão Pré-Pago Reunion (Unicard/LinkCard)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1B7A3D"/>
          <w:sz w:val="20"/>
          <w:szCs w:val="20"/>
        </w:rPr>
        <w:t xml:space="preserve">Validada</w:t>
      </w:r>
    </w:p>
    <w:p>
      <w:pPr>
        <w:spacing w:after="140" w:line="300"/>
      </w:pPr>
      <w:r>
        <w:rPr>
          <w:sz w:val="22"/>
          <w:szCs w:val="22"/>
        </w:rPr>
        <w:t xml:space="preserve">A Reunion opera com um único cartão pré-pago próprio (LinkCard/Unicard) — não existe cadastro de "múltiplos cartões de terceiros" nesta tela; ela apenas parametriza tarifas para 3 operações desse cartão único: compra, recarga e recarga em lote.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Compra de cartão pré-pago (zero): cobra valor do plástico + tarifa de recarga + frete.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Recarga de cartão já em posse do premiado: cobra apenas a tarifa de recarga (não há frete nem valor de plástico, pois o cartão físico já está com o premiado).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Recarga em lote: fluxo usado por poucos clientes legados (ex.: caso citado da empresa Spar) para recarregar vários cartões de uma vez via planilha; baixo uso atual — a equipe de negócio sugeriu avaliar se vale a pena manter esse fluxo na V2.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Toda solicitação de recarga em lote é enviada para aprovação manual da equipe administrativa da Reunion antes de ser processada.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Isabella Canon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"Não é que a gente adiciona novos cartões — o cartão da Reunion tem essas 3 funções: comprar, recarregar e recarregar em lote. [...] Quando ele recarrega, já é um valor diferente, porque ele já está com o cartão em mãos: não tem taxa de entrega, não tem envio do plástico."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4572000" cy="3905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Sistema (produção) — tela de Pedidos de Cartões Pré-Pagos, evidenciando a composição de preço por linha: Preço do Plástico, Taxa da Recarga, Valor da Recarga, Frete e Preço Total — a mesma lógica de tarifas diferenciadas entre compra e recarga discutida na reunião.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RN05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Markup — Extensão para Boleto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B7690A"/>
          <w:sz w:val="20"/>
          <w:szCs w:val="20"/>
        </w:rPr>
        <w:t xml:space="preserve">Pendente de complemento no documento</w:t>
      </w:r>
    </w:p>
    <w:p>
      <w:pPr>
        <w:spacing w:after="140" w:line="300"/>
      </w:pPr>
      <w:r>
        <w:rPr>
          <w:sz w:val="22"/>
          <w:szCs w:val="22"/>
        </w:rPr>
        <w:t xml:space="preserve">Hoje o markup (percentual ou valor fixo aplicado sobre o preço) só existe para Lojas e Vales (gift cards). Ficou definido incluir a opção de markup também para Boletos, mas essa inclusão ainda não estava registrada no documento de especificação até a data da reunião — havia sido combinada apenas por e-mail.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Markup poderá ser cadastrado como percentual (%) ou valor fixo (R$) — a escolha do tipo impacta diretamente a tarifa final cobrada do cliente.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Regra de negócio inegociável: o premiado nunca deve visualizar o markup como um acréscimo separado. Ele vê apenas o preço final, sem indicação de que há uma margem embutida (ex.: um produto de R$ 200 com 10% de markup aparece simplesmente como R$ 200).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Para Gift Card, a tarifa padrão de processamento é de R$ 10 fixos; em clientes com markup configurado, essa tarifa fixa é substituída pela regra de markup (percentual ou fixo) daquele cliente.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Para Boleto, a tarifa padrão hoje é fixa (R$ 4); a forma de exibição/aplicação do markup percentual em boleto ainda precisa ser definida em uma etapa futura de especificação (é apenas parametrização nesta fase — a regra de leitura/apresentação ao premiado será detalhada quando o fluxo de checkout for especificado).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Isabella Canon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"Foi estritamente solicitado que, para esses serviços, o premiado não veja nada de valor a mais. [...] O padrão de vale presente é sempre a taxa de processamento de R$ 10, só que em clientes com markup, ao invés dessa tarifa, é percentual ou valor fixo."</w:t>
            </w:r>
          </w:p>
        </w:tc>
      </w:tr>
    </w:tbl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Mauricio Bonatto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"Hoje a gente está falando da parametrização que tem que ter. Quando a gente chegar lá na frente, vai ter que pensar em como mostrar essa configuração para o premiado."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5715000" cy="37623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Protótipo — telas de "Cadastro de Gift Cards" e "Cadastro de Markup" lado a lado: o Markup tem seleção de Tipo (Valor Específico ou Percentual %) e lista de clientes vinculados, seguindo a mesma lógica de padrão × cliente do RN02.</w:t>
      </w:r>
    </w:p>
    <w:p>
      <w:pPr>
        <w:spacing w:after="140" w:line="300"/>
      </w:pPr>
      <w:r>
        <w:rPr>
          <w:sz w:val="22"/>
          <w:szCs w:val="22"/>
        </w:rPr>
        <w:t xml:space="preserve">Ação combinada: Mauricio irá incluir explicitamente no documento de especificação a extensão do markup para boletos (estava registrada apenas no corpo do e-mail).</w:t>
      </w:r>
    </w:p>
    <w:p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RN06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Permissões do Usuário do Cliente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1B7A3D"/>
          <w:sz w:val="20"/>
          <w:szCs w:val="20"/>
        </w:rPr>
        <w:t xml:space="preserve">Ajuste de nomenclatura solicitado</w:t>
      </w:r>
    </w:p>
    <w:p>
      <w:pPr>
        <w:spacing w:after="140" w:line="300"/>
      </w:pPr>
      <w:r>
        <w:rPr>
          <w:sz w:val="22"/>
          <w:szCs w:val="22"/>
        </w:rPr>
        <w:t xml:space="preserve">Durante testes em homologação, a equipe não percebeu o efeito de alguns toggles da seção "Administrar" no cadastro de usuário do cliente. Isabella esclareceu que essas opções não controlam o acesso ao menu em si, e sim quais botões de ação aparecem para aquele usuário dentro da campanha.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 toggles em "Administrar" (Editar / Gerenciar Usuários / Excluir) controlam a exibição dos respectivos botões de ação nos itens da campanha para aquele usuário do cliente — não o acesso a telas.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Exemplo validado: desmarcando "Excluir", o botão de excluir some da interface daquele usuário; mantendo apenas "Editar", só esse botão aparece.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Mesma lógica se aplica às seções "Uploads" (Participantes, Vendas, Crédito Direto, Correção de Pontos, Inserir Metas, Progresso de Metas) e "Relatórios" (Usuários e Premiação, Ranking, Relatório de Metas): cada checkbox habilita/desabilita a ação correspondente para o usuário.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Ação combinada: renomear o rótulo da seção "Administrar" para algo mais claro, como "Ações da Campanha" ou "Funcionalidades da Campanha", deixando explícito que o efeito é sobre botões de ação e não sobre acesso administrativo geral.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Isabella Canon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"Esse cliente tem os três botões ativos, então aparece editar, gerenciar e excluir. Se eu tiro 'gerenciar', só aparece editar e excluir. É literalmente em cima desses botões."</w:t>
            </w:r>
          </w:p>
        </w:tc>
      </w:tr>
    </w:tbl>
    <w:p>
      <w:pPr>
        <w:spacing w:after="80" w:before="8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60"/>
        <w:jc w:val="center"/>
      </w:pPr>
      <w:r>
        <w:rPr>
          <w:i/>
          <w:iCs/>
          <w:color w:val="666666"/>
          <w:sz w:val="18"/>
          <w:szCs w:val="18"/>
        </w:rPr>
        <w:t xml:space="preserve">Sistema (produção) — "Editando usuário do Cliente": seções Administrar, Uploads e Relatórios, cada uma com toggle geral e checkboxes específicos que refletem diretamente nos botões de ação exibidos na campanha.</w:t>
      </w:r>
    </w:p>
    <w:p>
      <w:r>
        <w:br w:type="pag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W w:type="pct" w:w="100%"/>
            <w:shd w:fill="5B2A8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FFD9A0"/>
                <w:sz w:val="24"/>
                <w:szCs w:val="24"/>
              </w:rPr>
              <w:t xml:space="preserve">RN07  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Aprovação de Campanhas</w:t>
            </w:r>
          </w:p>
        </w:tc>
      </w:tr>
    </w:tbl>
    <w:p>
      <w:pPr>
        <w:spacing w:before="200"/>
      </w:pPr>
    </w:p>
    <w:p>
      <w:pPr>
        <w:spacing w:after="160"/>
      </w:pPr>
      <w:r>
        <w:rPr>
          <w:b/>
          <w:bCs/>
          <w:color w:val="555555"/>
          <w:sz w:val="20"/>
          <w:szCs w:val="20"/>
        </w:rPr>
        <w:t xml:space="preserve">Status: </w:t>
      </w:r>
      <w:r>
        <w:rPr>
          <w:b/>
          <w:bCs/>
          <w:color w:val="1B7A3D"/>
          <w:sz w:val="20"/>
          <w:szCs w:val="20"/>
        </w:rPr>
        <w:t xml:space="preserve">Validada — a ser implementado no módulo de Campanhas</w:t>
      </w:r>
    </w:p>
    <w:p>
      <w:pPr>
        <w:spacing w:after="140" w:line="300"/>
      </w:pPr>
      <w:r>
        <w:rPr>
          <w:sz w:val="22"/>
          <w:szCs w:val="22"/>
        </w:rPr>
        <w:t xml:space="preserve">Ao especificar o próximo módulo (Campanhas), ficou definido o fluxo de aprovação: alterações feitas pelo cliente em uma campanha não devem impactar o premiado imediatamente.</w:t>
      </w:r>
    </w:p>
    <w:p>
      <w:pPr>
        <w:pStyle w:val="Heading2"/>
        <w:spacing w:after="120" w:before="280"/>
      </w:pPr>
      <w:r>
        <w:rPr>
          <w:b/>
          <w:bCs/>
          <w:color w:val="222222"/>
          <w:sz w:val="24"/>
          <w:szCs w:val="24"/>
        </w:rPr>
        <w:t xml:space="preserve">Regra definida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Quando o cliente cria ou edita uma campanha, o registro é salvo com status pendente — a alteração não é aplicada/exibida ao premiado até ser aprovada.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 aprovação é feita pela equipe da Reunion (administração), que hoje precisa checar manualmente campanha por campanha para saber se há pendências.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Melhoria proposta para a V2: notificação visual (ex.: sino/badge) para sinalizar à equipe da Reunion que existem campanhas aguardando aprovação, evitando a checagem manual diária.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 construção do módulo de Campanhas seguirá abordagem incremental: primeiro um fluxo "cenário feliz" simples (criar campanha → vincular premiado, já refletindo no app), depois incorporação progressiva de parametrizações, sessões e regras de aprovação mais detalhadas.</w:t>
      </w:r>
    </w:p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Mauricio Bonatto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"Não aplica ainda até que você dê um OK. Quando salvar, fica pendente, daí vai para você aprovar."</w:t>
            </w:r>
          </w:p>
        </w:tc>
      </w:tr>
    </w:tbl>
    <w:tbl>
      <w:tblPr>
        <w:tblW w:type="pct" w:w="100%"/>
        <w:tblBorders>
          <w:top w:val="single" w:color="D9D2E9" w:sz="4"/>
          <w:left w:val="single" w:color="5B2A86" w:sz="24"/>
          <w:bottom w:val="single" w:color="D9D2E9" w:sz="4"/>
          <w:right w:val="single" w:color="D9D2E9" w:sz="4"/>
          <w:insideH w:val="none"/>
          <w:insideV w:val="none"/>
        </w:tblBorders>
      </w:tblPr>
      <w:tblGrid>
        <w:gridCol w:w="100"/>
      </w:tblGrid>
      <w:tr>
        <w:tc>
          <w:tcPr>
            <w:shd w:fill="F8F5FC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40"/>
            </w:pPr>
            <w:r>
              <w:rPr>
                <w:b/>
                <w:bCs/>
                <w:color w:val="5B2A86"/>
                <w:sz w:val="18"/>
                <w:szCs w:val="18"/>
              </w:rPr>
              <w:t xml:space="preserve">Isabella Canon</w:t>
            </w:r>
          </w:p>
          <w:p>
            <w:r>
              <w:rPr>
                <w:i/>
                <w:iCs/>
                <w:color w:val="444444"/>
                <w:sz w:val="20"/>
                <w:szCs w:val="20"/>
              </w:rPr>
              <w:t xml:space="preserve">"Nossa, branco... colocar só um sininho lá em cima já ajuda, tem campanha nova."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5B2A86" w:sz="8" w:space="4"/>
        </w:pBdr>
        <w:spacing w:after="160" w:before="360"/>
      </w:pPr>
      <w:r>
        <w:rPr>
          <w:b/>
          <w:bCs/>
          <w:color w:val="5B2A86"/>
          <w:sz w:val="30"/>
          <w:szCs w:val="30"/>
        </w:rPr>
        <w:t xml:space="preserve">3. Processo Combinado de Revisão do Documento</w:t>
      </w:r>
    </w:p>
    <w:p>
      <w:pPr>
        <w:spacing w:after="140" w:line="300"/>
      </w:pPr>
      <w:r>
        <w:rPr>
          <w:sz w:val="22"/>
          <w:szCs w:val="22"/>
        </w:rPr>
        <w:t xml:space="preserve">Para facilitar o acompanhamento das mudanças entre as partes, Mauricio propôs o seguinte processo de versionamento do documento de especificação: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Toda alteração/inclusão nova no documento é destacada em uma cor diferente do texto padrão (preto).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Isabella revisa o trecho destacado e valida ("OK, já li, validei, está tudo certo").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Após validação, o trecho volta para a cor padrão (preto), indicando que está definitivamente fechado.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Caso surjam ajustes adicionais depois (voltando atrás em algo já validado), o ciclo se repete com uma nova cor de destaque.</w:t>
      </w:r>
    </w:p>
    <w:p>
      <w:pPr>
        <w:spacing w:after="140" w:line="300"/>
      </w:pPr>
      <w:r>
        <w:rPr>
          <w:sz w:val="22"/>
          <w:szCs w:val="22"/>
        </w:rPr>
        <w:t xml:space="preserve">Isso permite manter o documento sempre atualizado e com rastreabilidade clara do que já foi validado pelo negócio versus o que ainda está em análise.</w:t>
      </w:r>
    </w:p>
    <w:p>
      <w:pPr>
        <w:pStyle w:val="Heading1"/>
        <w:pBdr>
          <w:bottom w:val="single" w:color="5B2A86" w:sz="8" w:space="4"/>
        </w:pBdr>
        <w:spacing w:after="160" w:before="360"/>
      </w:pPr>
      <w:r>
        <w:rPr>
          <w:b/>
          <w:bCs/>
          <w:color w:val="5B2A86"/>
          <w:sz w:val="30"/>
          <w:szCs w:val="30"/>
        </w:rPr>
        <w:t xml:space="preserve">4. Próximos Passos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Mauricio: ajustar a regra de obrigatoriedade do valor do gift card (RN01) e incluir a extensão de markup para boleto no documento (RN05).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Mauricio: revisar a nomenclatura da seção de permissões "Administrar" (RN06).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Mauricio: iniciar a especificação do módulo de Campanhas a partir do dia seguinte à reunião, com fluxo inicial simplificado (cenário feliz).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Isabella: finalizar a conferência do documento de especificação existente (arquivos enviados anteriormente) e formalizar o retorno em até 1 dia.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Ambos: manter o processo de versionamento por cores para acompanhamento das revisões do documento.</w:t>
      </w:r>
    </w:p>
    <w:sectPr>
      <w:headerReference w:type="default" r:id="rId7"/>
      <w:footerReference w:type="default" r:id="rId8"/>
      <w:pgSz w:w="12240" w:h="15840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Página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Reunion — Regras de Negócio | Alinhamentos de Especificação 14/07/2026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0947ac6e6a9ef4dc391407744ab461e401a4a92.jpg"/><Relationship Id="rId10" Type="http://schemas.openxmlformats.org/officeDocument/2006/relationships/image" Target="media/c641875498de71061cfd884c57a7d858ce37003c.jpg"/><Relationship Id="rId11" Type="http://schemas.openxmlformats.org/officeDocument/2006/relationships/image" Target="media/a05ff3909a81a4e43f34fbc05f6cce98ba92869d.jpg"/><Relationship Id="rId12" Type="http://schemas.openxmlformats.org/officeDocument/2006/relationships/image" Target="media/71b1e4f445d521abda21bcc6456c1a963b1a78a6.jpg"/><Relationship Id="rId13" Type="http://schemas.openxmlformats.org/officeDocument/2006/relationships/image" Target="media/66936dae1961ade1b245e1bba32ff3f8ee9bf41e.jpg"/><Relationship Id="rId14" Type="http://schemas.openxmlformats.org/officeDocument/2006/relationships/image" Target="media/30d7d8d241c14c6251e44606fb35c1266272d6b1.jpg"/><Relationship Id="rId15" Type="http://schemas.openxmlformats.org/officeDocument/2006/relationships/image" Target="media/65e6b8bb668750a7ce945024837b1f54eb86a16d.jpg"/><Relationship Id="rId16" Type="http://schemas.openxmlformats.org/officeDocument/2006/relationships/image" Target="media/3d5f1d8ff4ba711b70c12b313e36729d7a5eb539.jp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2026-07-16T10:48:44.723Z</dcterms:created>
  <dcterms:modified xsi:type="dcterms:W3CDTF">2026-07-16T10:48:44.723Z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